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9" w:rsidRPr="00610E4C" w:rsidRDefault="00926AD8" w:rsidP="00B356DF">
      <w:pPr>
        <w:jc w:val="center"/>
        <w:rPr>
          <w:b/>
          <w:sz w:val="32"/>
          <w:szCs w:val="32"/>
        </w:rPr>
      </w:pPr>
      <w:r w:rsidRPr="00610E4C">
        <w:rPr>
          <w:b/>
          <w:sz w:val="32"/>
          <w:szCs w:val="32"/>
        </w:rPr>
        <w:t>Live Deliberately</w:t>
      </w:r>
      <w:r w:rsidR="0088251B" w:rsidRPr="00610E4C">
        <w:rPr>
          <w:b/>
          <w:sz w:val="32"/>
          <w:szCs w:val="32"/>
        </w:rPr>
        <w:t xml:space="preserve"> Essay Contest </w:t>
      </w:r>
      <w:r w:rsidR="00BD3AE9" w:rsidRPr="00610E4C">
        <w:rPr>
          <w:b/>
          <w:sz w:val="32"/>
          <w:szCs w:val="32"/>
        </w:rPr>
        <w:t>Reviewer Rubric</w:t>
      </w:r>
    </w:p>
    <w:p w:rsidR="00926AD8" w:rsidRDefault="00926AD8" w:rsidP="00B356DF">
      <w:pPr>
        <w:jc w:val="center"/>
        <w:rPr>
          <w:b/>
          <w:sz w:val="28"/>
          <w:szCs w:val="28"/>
        </w:rPr>
      </w:pPr>
    </w:p>
    <w:p w:rsidR="00926AD8" w:rsidRDefault="00926AD8" w:rsidP="00610E4C">
      <w:pPr>
        <w:spacing w:after="100"/>
        <w:rPr>
          <w:rFonts w:eastAsia="Times New Roman" w:cstheme="minorHAnsi"/>
          <w:b/>
        </w:rPr>
      </w:pPr>
      <w:r w:rsidRPr="00926AD8">
        <w:rPr>
          <w:rFonts w:eastAsia="Times New Roman" w:cstheme="minorHAnsi"/>
          <w:b/>
        </w:rPr>
        <w:t>Thank you so much for being a guest reviewer for the Live Deliberately Essay Contest!</w:t>
      </w:r>
    </w:p>
    <w:p w:rsidR="0088251B" w:rsidRDefault="0088251B" w:rsidP="00610E4C">
      <w:pPr>
        <w:spacing w:after="40"/>
        <w:rPr>
          <w:rFonts w:eastAsia="Times New Roman" w:cstheme="minorHAnsi"/>
        </w:rPr>
      </w:pPr>
      <w:r w:rsidRPr="00926AD8">
        <w:rPr>
          <w:rFonts w:eastAsia="Times New Roman" w:cstheme="minorHAnsi"/>
        </w:rPr>
        <w:t>It is our intent</w:t>
      </w:r>
      <w:r w:rsidR="00926AD8" w:rsidRPr="00926AD8">
        <w:rPr>
          <w:rFonts w:eastAsia="Times New Roman" w:cstheme="minorHAnsi"/>
        </w:rPr>
        <w:t>ion</w:t>
      </w:r>
      <w:r w:rsidRPr="00926AD8">
        <w:rPr>
          <w:rFonts w:eastAsia="Times New Roman" w:cstheme="minorHAnsi"/>
        </w:rPr>
        <w:t xml:space="preserve"> that you will only receive essays that meet the basic requirements of the contest (word</w:t>
      </w:r>
      <w:r w:rsidR="00926AD8" w:rsidRPr="00926AD8">
        <w:rPr>
          <w:rFonts w:eastAsia="Times New Roman" w:cstheme="minorHAnsi"/>
        </w:rPr>
        <w:t xml:space="preserve"> count, deadline, </w:t>
      </w:r>
      <w:r w:rsidR="00926AD8">
        <w:rPr>
          <w:rFonts w:eastAsia="Times New Roman" w:cstheme="minorHAnsi"/>
        </w:rPr>
        <w:t>respond</w:t>
      </w:r>
      <w:r w:rsidR="00926AD8" w:rsidRPr="00926AD8">
        <w:rPr>
          <w:rFonts w:eastAsia="Times New Roman" w:cstheme="minorHAnsi"/>
        </w:rPr>
        <w:t xml:space="preserve"> to </w:t>
      </w:r>
      <w:r w:rsidRPr="00926AD8">
        <w:rPr>
          <w:rFonts w:eastAsia="Times New Roman" w:cstheme="minorHAnsi"/>
        </w:rPr>
        <w:t>the prompt) to review.  If you believe you have received an essay that does not meet the basic requirements, please let me know</w:t>
      </w:r>
      <w:r w:rsidR="00926AD8" w:rsidRPr="00926AD8">
        <w:rPr>
          <w:rFonts w:eastAsia="Times New Roman" w:cstheme="minorHAnsi"/>
        </w:rPr>
        <w:t xml:space="preserve"> when you submit your scores.</w:t>
      </w:r>
      <w:r w:rsidRPr="00926AD8">
        <w:rPr>
          <w:rFonts w:eastAsia="Times New Roman" w:cstheme="minorHAnsi"/>
        </w:rPr>
        <w:t xml:space="preserve"> </w:t>
      </w:r>
    </w:p>
    <w:p w:rsidR="00926AD8" w:rsidRDefault="00926AD8" w:rsidP="00610E4C">
      <w:pPr>
        <w:spacing w:after="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scores in each category are weighted. For those weighted with a “3,” please multiply your score in that category by 3 to come up with your </w:t>
      </w:r>
      <w:r w:rsidR="000D66B5">
        <w:rPr>
          <w:rFonts w:eastAsia="Times New Roman" w:cstheme="minorHAnsi"/>
        </w:rPr>
        <w:t>total</w:t>
      </w:r>
      <w:r>
        <w:rPr>
          <w:rFonts w:eastAsia="Times New Roman" w:cstheme="minorHAnsi"/>
        </w:rPr>
        <w:t xml:space="preserve"> score in that category. For those weighted with a “2,” multiply those scores by 2. Then add all of your </w:t>
      </w:r>
      <w:r w:rsidR="00610E4C">
        <w:rPr>
          <w:rFonts w:eastAsia="Times New Roman" w:cstheme="minorHAnsi"/>
        </w:rPr>
        <w:t xml:space="preserve">weighted scores to come up with the </w:t>
      </w:r>
      <w:r w:rsidR="000D66B5">
        <w:rPr>
          <w:rFonts w:eastAsia="Times New Roman" w:cstheme="minorHAnsi"/>
        </w:rPr>
        <w:t>overall</w:t>
      </w:r>
      <w:r w:rsidR="00610E4C">
        <w:rPr>
          <w:rFonts w:eastAsia="Times New Roman" w:cstheme="minorHAnsi"/>
        </w:rPr>
        <w:t xml:space="preserve"> score.  Please email Whitney Retallic, WWP Director of Education, at </w:t>
      </w:r>
      <w:hyperlink r:id="rId6" w:history="1">
        <w:r w:rsidR="00610E4C" w:rsidRPr="00FA4119">
          <w:rPr>
            <w:rStyle w:val="Hyperlink"/>
            <w:rFonts w:eastAsia="Times New Roman" w:cstheme="minorHAnsi"/>
          </w:rPr>
          <w:t>whitney.retallic@walden.org</w:t>
        </w:r>
      </w:hyperlink>
      <w:r w:rsidR="00610E4C">
        <w:rPr>
          <w:rFonts w:eastAsia="Times New Roman" w:cstheme="minorHAnsi"/>
        </w:rPr>
        <w:t xml:space="preserve"> if you have questions!</w:t>
      </w:r>
      <w:bookmarkStart w:id="0" w:name="_GoBack"/>
      <w:bookmarkEnd w:id="0"/>
    </w:p>
    <w:p w:rsidR="00610E4C" w:rsidRPr="00926AD8" w:rsidRDefault="00610E4C" w:rsidP="00610E4C">
      <w:pPr>
        <w:rPr>
          <w:rFonts w:eastAsia="Times New Roman" w:cstheme="minorHAnsi"/>
          <w:b/>
        </w:rPr>
      </w:pPr>
    </w:p>
    <w:tbl>
      <w:tblPr>
        <w:tblStyle w:val="TableGrid"/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480"/>
        <w:gridCol w:w="1260"/>
        <w:gridCol w:w="1170"/>
        <w:gridCol w:w="1350"/>
        <w:gridCol w:w="1260"/>
        <w:gridCol w:w="1260"/>
        <w:gridCol w:w="990"/>
        <w:gridCol w:w="1170"/>
      </w:tblGrid>
      <w:tr w:rsidR="00610E4C" w:rsidRPr="00126FEF" w:rsidTr="00610E4C">
        <w:tc>
          <w:tcPr>
            <w:tcW w:w="6480" w:type="dxa"/>
            <w:vAlign w:val="center"/>
          </w:tcPr>
          <w:p w:rsidR="00610E4C" w:rsidRPr="00126FEF" w:rsidRDefault="00610E4C" w:rsidP="00126FEF">
            <w:pPr>
              <w:rPr>
                <w:b/>
              </w:rPr>
            </w:pPr>
            <w:r>
              <w:rPr>
                <w:b/>
              </w:rPr>
              <w:t>Contestant Name:</w:t>
            </w:r>
            <w:r w:rsidR="00081056">
              <w:rPr>
                <w:b/>
              </w:rPr>
              <w:t xml:space="preserve"> (e.g., “RetallicW”)</w:t>
            </w:r>
          </w:p>
        </w:tc>
        <w:tc>
          <w:tcPr>
            <w:tcW w:w="1260" w:type="dxa"/>
            <w:vAlign w:val="center"/>
          </w:tcPr>
          <w:p w:rsidR="00610E4C" w:rsidRPr="00126FEF" w:rsidRDefault="00610E4C" w:rsidP="00126FEF">
            <w:pPr>
              <w:jc w:val="center"/>
              <w:rPr>
                <w:b/>
              </w:rPr>
            </w:pPr>
            <w:r w:rsidRPr="00126FEF">
              <w:rPr>
                <w:b/>
              </w:rPr>
              <w:t>1 (Not evident)</w:t>
            </w:r>
          </w:p>
        </w:tc>
        <w:tc>
          <w:tcPr>
            <w:tcW w:w="1170" w:type="dxa"/>
            <w:vAlign w:val="center"/>
          </w:tcPr>
          <w:p w:rsidR="00610E4C" w:rsidRPr="00126FEF" w:rsidRDefault="00610E4C" w:rsidP="00126FEF">
            <w:pPr>
              <w:jc w:val="center"/>
              <w:rPr>
                <w:b/>
              </w:rPr>
            </w:pPr>
            <w:r w:rsidRPr="00126FEF">
              <w:rPr>
                <w:b/>
              </w:rPr>
              <w:t>2 (Poor)</w:t>
            </w:r>
          </w:p>
        </w:tc>
        <w:tc>
          <w:tcPr>
            <w:tcW w:w="1350" w:type="dxa"/>
            <w:vAlign w:val="center"/>
          </w:tcPr>
          <w:p w:rsidR="00610E4C" w:rsidRPr="00126FEF" w:rsidRDefault="00610E4C" w:rsidP="00126FEF">
            <w:pPr>
              <w:jc w:val="center"/>
              <w:rPr>
                <w:b/>
              </w:rPr>
            </w:pPr>
            <w:r w:rsidRPr="00126FEF">
              <w:rPr>
                <w:b/>
              </w:rPr>
              <w:t>3 (Moderate)</w:t>
            </w:r>
          </w:p>
        </w:tc>
        <w:tc>
          <w:tcPr>
            <w:tcW w:w="1260" w:type="dxa"/>
            <w:vAlign w:val="center"/>
          </w:tcPr>
          <w:p w:rsidR="00610E4C" w:rsidRPr="00126FEF" w:rsidRDefault="00610E4C" w:rsidP="00126FEF">
            <w:pPr>
              <w:jc w:val="center"/>
              <w:rPr>
                <w:b/>
              </w:rPr>
            </w:pPr>
            <w:r w:rsidRPr="00126FEF">
              <w:rPr>
                <w:b/>
              </w:rPr>
              <w:t>4 (Good)</w:t>
            </w:r>
          </w:p>
        </w:tc>
        <w:tc>
          <w:tcPr>
            <w:tcW w:w="1260" w:type="dxa"/>
            <w:vAlign w:val="center"/>
          </w:tcPr>
          <w:p w:rsidR="00610E4C" w:rsidRPr="00126FEF" w:rsidRDefault="00610E4C" w:rsidP="00126FEF">
            <w:pPr>
              <w:jc w:val="center"/>
              <w:rPr>
                <w:b/>
              </w:rPr>
            </w:pPr>
            <w:r w:rsidRPr="00126FEF">
              <w:rPr>
                <w:b/>
              </w:rPr>
              <w:t>5 (Excellent)</w:t>
            </w:r>
          </w:p>
        </w:tc>
        <w:tc>
          <w:tcPr>
            <w:tcW w:w="990" w:type="dxa"/>
          </w:tcPr>
          <w:p w:rsidR="00610E4C" w:rsidRPr="00126FEF" w:rsidRDefault="00610E4C" w:rsidP="00926AD8">
            <w:pPr>
              <w:jc w:val="center"/>
              <w:rPr>
                <w:b/>
              </w:rPr>
            </w:pPr>
            <w:r>
              <w:rPr>
                <w:b/>
              </w:rPr>
              <w:t>Score weight</w:t>
            </w:r>
          </w:p>
        </w:tc>
        <w:tc>
          <w:tcPr>
            <w:tcW w:w="1170" w:type="dxa"/>
          </w:tcPr>
          <w:p w:rsidR="00610E4C" w:rsidRDefault="00610E4C" w:rsidP="00926AD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610E4C" w:rsidRDefault="00610E4C" w:rsidP="00926AD8">
            <w:pPr>
              <w:jc w:val="center"/>
              <w:rPr>
                <w:b/>
              </w:rPr>
            </w:pPr>
            <w:r>
              <w:rPr>
                <w:b/>
              </w:rPr>
              <w:t>Scores</w:t>
            </w:r>
          </w:p>
        </w:tc>
      </w:tr>
      <w:tr w:rsidR="00610E4C" w:rsidTr="001A1B0B">
        <w:tc>
          <w:tcPr>
            <w:tcW w:w="6480" w:type="dxa"/>
          </w:tcPr>
          <w:p w:rsidR="00610E4C" w:rsidRDefault="00610E4C" w:rsidP="0014288B">
            <w:r>
              <w:rPr>
                <w:b/>
              </w:rPr>
              <w:t>Addresses Prompt—</w:t>
            </w:r>
            <w:r w:rsidRPr="00016209">
              <w:t>The essay effectively takes into account</w:t>
            </w:r>
            <w:r w:rsidR="001A1B0B">
              <w:t>, either literally or metaphorically,</w:t>
            </w:r>
            <w:r w:rsidRPr="00016209">
              <w:t xml:space="preserve"> the entirety of the prompt.</w:t>
            </w:r>
            <w:r>
              <w:t xml:space="preserve"> </w:t>
            </w:r>
          </w:p>
          <w:p w:rsidR="00610E4C" w:rsidRDefault="00610E4C" w:rsidP="0014288B"/>
        </w:tc>
        <w:tc>
          <w:tcPr>
            <w:tcW w:w="1260" w:type="dxa"/>
          </w:tcPr>
          <w:p w:rsidR="00610E4C" w:rsidRDefault="00610E4C" w:rsidP="0014288B"/>
        </w:tc>
        <w:tc>
          <w:tcPr>
            <w:tcW w:w="1170" w:type="dxa"/>
          </w:tcPr>
          <w:p w:rsidR="00610E4C" w:rsidRDefault="00610E4C" w:rsidP="0014288B"/>
        </w:tc>
        <w:tc>
          <w:tcPr>
            <w:tcW w:w="1350" w:type="dxa"/>
          </w:tcPr>
          <w:p w:rsidR="00610E4C" w:rsidRDefault="00610E4C" w:rsidP="0014288B"/>
        </w:tc>
        <w:tc>
          <w:tcPr>
            <w:tcW w:w="1260" w:type="dxa"/>
          </w:tcPr>
          <w:p w:rsidR="00610E4C" w:rsidRDefault="00610E4C" w:rsidP="0014288B"/>
        </w:tc>
        <w:tc>
          <w:tcPr>
            <w:tcW w:w="1260" w:type="dxa"/>
          </w:tcPr>
          <w:p w:rsidR="00610E4C" w:rsidRDefault="00610E4C" w:rsidP="0014288B"/>
        </w:tc>
        <w:tc>
          <w:tcPr>
            <w:tcW w:w="990" w:type="dxa"/>
            <w:vAlign w:val="center"/>
          </w:tcPr>
          <w:p w:rsidR="00610E4C" w:rsidRDefault="001A1B0B" w:rsidP="001A1B0B">
            <w:pPr>
              <w:jc w:val="center"/>
            </w:pPr>
            <w:r>
              <w:t>X 2</w:t>
            </w:r>
          </w:p>
        </w:tc>
        <w:tc>
          <w:tcPr>
            <w:tcW w:w="1170" w:type="dxa"/>
          </w:tcPr>
          <w:p w:rsidR="00610E4C" w:rsidRDefault="00610E4C" w:rsidP="0014288B"/>
        </w:tc>
      </w:tr>
      <w:tr w:rsidR="00610E4C" w:rsidTr="001A1B0B">
        <w:tc>
          <w:tcPr>
            <w:tcW w:w="6480" w:type="dxa"/>
          </w:tcPr>
          <w:p w:rsidR="00610E4C" w:rsidRDefault="00610E4C" w:rsidP="00016209">
            <w:r w:rsidRPr="001F7901">
              <w:rPr>
                <w:b/>
              </w:rPr>
              <w:t>Focus</w:t>
            </w:r>
            <w:r>
              <w:t xml:space="preserve">—The thesis/main message is clear and supported throughout. The essay does not stray from the main message. </w:t>
            </w:r>
          </w:p>
          <w:p w:rsidR="00610E4C" w:rsidRDefault="00610E4C" w:rsidP="00016209"/>
        </w:tc>
        <w:tc>
          <w:tcPr>
            <w:tcW w:w="1260" w:type="dxa"/>
          </w:tcPr>
          <w:p w:rsidR="00610E4C" w:rsidRDefault="00610E4C"/>
        </w:tc>
        <w:tc>
          <w:tcPr>
            <w:tcW w:w="1170" w:type="dxa"/>
          </w:tcPr>
          <w:p w:rsidR="00610E4C" w:rsidRDefault="00610E4C"/>
        </w:tc>
        <w:tc>
          <w:tcPr>
            <w:tcW w:w="135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990" w:type="dxa"/>
            <w:vAlign w:val="center"/>
          </w:tcPr>
          <w:p w:rsidR="00610E4C" w:rsidRDefault="001A1B0B" w:rsidP="001A1B0B">
            <w:pPr>
              <w:jc w:val="center"/>
            </w:pPr>
            <w:r>
              <w:t>X 2</w:t>
            </w:r>
          </w:p>
        </w:tc>
        <w:tc>
          <w:tcPr>
            <w:tcW w:w="1170" w:type="dxa"/>
          </w:tcPr>
          <w:p w:rsidR="00610E4C" w:rsidRDefault="00610E4C"/>
        </w:tc>
      </w:tr>
      <w:tr w:rsidR="00610E4C" w:rsidTr="001A1B0B">
        <w:tc>
          <w:tcPr>
            <w:tcW w:w="6480" w:type="dxa"/>
          </w:tcPr>
          <w:p w:rsidR="00610E4C" w:rsidRDefault="00610E4C" w:rsidP="00CB3D71">
            <w:r w:rsidRPr="001F7901">
              <w:rPr>
                <w:b/>
              </w:rPr>
              <w:t>Organization</w:t>
            </w:r>
            <w:r>
              <w:rPr>
                <w:b/>
              </w:rPr>
              <w:t xml:space="preserve"> &amp; Structure</w:t>
            </w:r>
            <w:r>
              <w:t>—The essay is organized and well-structured.</w:t>
            </w:r>
            <w:r w:rsidR="00CB3D71">
              <w:t xml:space="preserve"> </w:t>
            </w:r>
            <w:r>
              <w:t xml:space="preserve">Author demonstrates command of grammar, spelling and mechanics. </w:t>
            </w:r>
          </w:p>
        </w:tc>
        <w:tc>
          <w:tcPr>
            <w:tcW w:w="1260" w:type="dxa"/>
          </w:tcPr>
          <w:p w:rsidR="00610E4C" w:rsidRDefault="00610E4C"/>
        </w:tc>
        <w:tc>
          <w:tcPr>
            <w:tcW w:w="1170" w:type="dxa"/>
          </w:tcPr>
          <w:p w:rsidR="00610E4C" w:rsidRDefault="00610E4C"/>
        </w:tc>
        <w:tc>
          <w:tcPr>
            <w:tcW w:w="135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990" w:type="dxa"/>
            <w:vAlign w:val="center"/>
          </w:tcPr>
          <w:p w:rsidR="00610E4C" w:rsidRDefault="001A1B0B" w:rsidP="001A1B0B">
            <w:pPr>
              <w:jc w:val="center"/>
            </w:pPr>
            <w:r>
              <w:t>X 2</w:t>
            </w:r>
          </w:p>
        </w:tc>
        <w:tc>
          <w:tcPr>
            <w:tcW w:w="1170" w:type="dxa"/>
          </w:tcPr>
          <w:p w:rsidR="00610E4C" w:rsidRDefault="00610E4C"/>
        </w:tc>
      </w:tr>
      <w:tr w:rsidR="00610E4C" w:rsidTr="001A1B0B">
        <w:tc>
          <w:tcPr>
            <w:tcW w:w="6480" w:type="dxa"/>
          </w:tcPr>
          <w:p w:rsidR="00610E4C" w:rsidRDefault="00610E4C" w:rsidP="00E8081F">
            <w:r w:rsidRPr="00804EE5">
              <w:rPr>
                <w:b/>
              </w:rPr>
              <w:t>Voice</w:t>
            </w:r>
            <w:r>
              <w:rPr>
                <w:b/>
              </w:rPr>
              <w:t>/Originality</w:t>
            </w:r>
            <w:r>
              <w:t>—The essay uses a highly engaging</w:t>
            </w:r>
            <w:r w:rsidR="00CB3D71">
              <w:t xml:space="preserve"> and </w:t>
            </w:r>
            <w:r>
              <w:t>personal style. The author finds fresh or interesting ways to convey ideas. The author approaches the topic from a unique perspective.</w:t>
            </w:r>
          </w:p>
        </w:tc>
        <w:tc>
          <w:tcPr>
            <w:tcW w:w="1260" w:type="dxa"/>
          </w:tcPr>
          <w:p w:rsidR="00610E4C" w:rsidRDefault="00610E4C"/>
        </w:tc>
        <w:tc>
          <w:tcPr>
            <w:tcW w:w="1170" w:type="dxa"/>
          </w:tcPr>
          <w:p w:rsidR="00610E4C" w:rsidRDefault="00610E4C"/>
        </w:tc>
        <w:tc>
          <w:tcPr>
            <w:tcW w:w="135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990" w:type="dxa"/>
            <w:vAlign w:val="center"/>
          </w:tcPr>
          <w:p w:rsidR="00610E4C" w:rsidRDefault="001A1B0B" w:rsidP="001A1B0B">
            <w:pPr>
              <w:jc w:val="center"/>
            </w:pPr>
            <w:r>
              <w:t>X 3</w:t>
            </w:r>
          </w:p>
        </w:tc>
        <w:tc>
          <w:tcPr>
            <w:tcW w:w="1170" w:type="dxa"/>
          </w:tcPr>
          <w:p w:rsidR="00610E4C" w:rsidRDefault="00610E4C"/>
        </w:tc>
      </w:tr>
      <w:tr w:rsidR="00610E4C" w:rsidTr="001A1B0B">
        <w:tc>
          <w:tcPr>
            <w:tcW w:w="6480" w:type="dxa"/>
          </w:tcPr>
          <w:p w:rsidR="00610E4C" w:rsidRDefault="00610E4C" w:rsidP="001A1B0B">
            <w:r w:rsidRPr="00804EE5">
              <w:rPr>
                <w:b/>
              </w:rPr>
              <w:t>Evidence of Personal Reflection</w:t>
            </w:r>
            <w:r>
              <w:t>—The essay demonstrates that the author has genuinely explored the topic/question and how it relates to his or her own life.</w:t>
            </w:r>
            <w:r w:rsidR="001A1B0B">
              <w:t xml:space="preserve"> The essay reflects a depth in reflection.</w:t>
            </w:r>
          </w:p>
        </w:tc>
        <w:tc>
          <w:tcPr>
            <w:tcW w:w="1260" w:type="dxa"/>
          </w:tcPr>
          <w:p w:rsidR="00610E4C" w:rsidRDefault="00610E4C"/>
        </w:tc>
        <w:tc>
          <w:tcPr>
            <w:tcW w:w="1170" w:type="dxa"/>
          </w:tcPr>
          <w:p w:rsidR="00610E4C" w:rsidRDefault="00610E4C"/>
        </w:tc>
        <w:tc>
          <w:tcPr>
            <w:tcW w:w="135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1260" w:type="dxa"/>
          </w:tcPr>
          <w:p w:rsidR="00610E4C" w:rsidRDefault="00610E4C"/>
        </w:tc>
        <w:tc>
          <w:tcPr>
            <w:tcW w:w="990" w:type="dxa"/>
            <w:vAlign w:val="center"/>
          </w:tcPr>
          <w:p w:rsidR="00610E4C" w:rsidRDefault="001A1B0B" w:rsidP="001A1B0B">
            <w:pPr>
              <w:jc w:val="center"/>
            </w:pPr>
            <w:r>
              <w:t>X 3</w:t>
            </w:r>
          </w:p>
        </w:tc>
        <w:tc>
          <w:tcPr>
            <w:tcW w:w="1170" w:type="dxa"/>
          </w:tcPr>
          <w:p w:rsidR="00610E4C" w:rsidRDefault="00610E4C"/>
        </w:tc>
      </w:tr>
      <w:tr w:rsidR="001A1B0B" w:rsidTr="001A68C5">
        <w:trPr>
          <w:trHeight w:val="530"/>
        </w:trPr>
        <w:tc>
          <w:tcPr>
            <w:tcW w:w="13770" w:type="dxa"/>
            <w:gridSpan w:val="7"/>
            <w:vAlign w:val="center"/>
          </w:tcPr>
          <w:p w:rsidR="001A1B0B" w:rsidRDefault="001A1B0B" w:rsidP="00677766">
            <w:pPr>
              <w:rPr>
                <w:b/>
              </w:rPr>
            </w:pPr>
            <w:r>
              <w:rPr>
                <w:b/>
              </w:rPr>
              <w:t xml:space="preserve">OVERALL SCORE </w:t>
            </w:r>
          </w:p>
          <w:p w:rsidR="001A1B0B" w:rsidRPr="00126FEF" w:rsidRDefault="001A1B0B" w:rsidP="00677766">
            <w:pPr>
              <w:rPr>
                <w:b/>
                <w:sz w:val="24"/>
                <w:szCs w:val="24"/>
              </w:rPr>
            </w:pPr>
            <w:r w:rsidRPr="00126FEF">
              <w:rPr>
                <w:b/>
                <w:sz w:val="24"/>
                <w:szCs w:val="24"/>
              </w:rPr>
              <w:t xml:space="preserve">Comments (optional): </w:t>
            </w:r>
          </w:p>
          <w:p w:rsidR="001A1B0B" w:rsidRDefault="001A1B0B" w:rsidP="00126FEF">
            <w:pPr>
              <w:rPr>
                <w:b/>
              </w:rPr>
            </w:pPr>
          </w:p>
          <w:p w:rsidR="001A1B0B" w:rsidRDefault="001A1B0B"/>
        </w:tc>
        <w:tc>
          <w:tcPr>
            <w:tcW w:w="1170" w:type="dxa"/>
          </w:tcPr>
          <w:p w:rsidR="001A1B0B" w:rsidRPr="00610E4C" w:rsidRDefault="001A1B0B" w:rsidP="00610E4C">
            <w:pPr>
              <w:spacing w:line="216" w:lineRule="auto"/>
              <w:rPr>
                <w:b/>
              </w:rPr>
            </w:pPr>
            <w:r w:rsidRPr="00610E4C">
              <w:rPr>
                <w:b/>
              </w:rPr>
              <w:t>Sum of Above:</w:t>
            </w:r>
          </w:p>
        </w:tc>
      </w:tr>
    </w:tbl>
    <w:p w:rsidR="00BD3AE9" w:rsidRDefault="00BD3AE9" w:rsidP="00016209"/>
    <w:sectPr w:rsidR="00BD3AE9" w:rsidSect="00610E4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5211"/>
    <w:multiLevelType w:val="multilevel"/>
    <w:tmpl w:val="50CA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E9"/>
    <w:rsid w:val="00016209"/>
    <w:rsid w:val="00081056"/>
    <w:rsid w:val="000D66B5"/>
    <w:rsid w:val="00126FEF"/>
    <w:rsid w:val="001A1B0B"/>
    <w:rsid w:val="001F7901"/>
    <w:rsid w:val="0023231A"/>
    <w:rsid w:val="00372EBE"/>
    <w:rsid w:val="00553605"/>
    <w:rsid w:val="00610E4C"/>
    <w:rsid w:val="00633964"/>
    <w:rsid w:val="00677766"/>
    <w:rsid w:val="00804EE5"/>
    <w:rsid w:val="0088251B"/>
    <w:rsid w:val="00926AD8"/>
    <w:rsid w:val="00AD05E9"/>
    <w:rsid w:val="00AE48C1"/>
    <w:rsid w:val="00B356DF"/>
    <w:rsid w:val="00BD3AE9"/>
    <w:rsid w:val="00CB3D71"/>
    <w:rsid w:val="00E8081F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AE9"/>
    <w:rPr>
      <w:b/>
      <w:bCs/>
    </w:rPr>
  </w:style>
  <w:style w:type="character" w:customStyle="1" w:styleId="apple-converted-space">
    <w:name w:val="apple-converted-space"/>
    <w:basedOn w:val="DefaultParagraphFont"/>
    <w:rsid w:val="00BD3AE9"/>
  </w:style>
  <w:style w:type="character" w:styleId="Emphasis">
    <w:name w:val="Emphasis"/>
    <w:basedOn w:val="DefaultParagraphFont"/>
    <w:uiPriority w:val="20"/>
    <w:qFormat/>
    <w:rsid w:val="00BD3AE9"/>
    <w:rPr>
      <w:i/>
      <w:iCs/>
    </w:rPr>
  </w:style>
  <w:style w:type="table" w:styleId="TableGrid">
    <w:name w:val="Table Grid"/>
    <w:basedOn w:val="TableNormal"/>
    <w:uiPriority w:val="59"/>
    <w:rsid w:val="00BD3A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AE9"/>
    <w:rPr>
      <w:b/>
      <w:bCs/>
    </w:rPr>
  </w:style>
  <w:style w:type="character" w:customStyle="1" w:styleId="apple-converted-space">
    <w:name w:val="apple-converted-space"/>
    <w:basedOn w:val="DefaultParagraphFont"/>
    <w:rsid w:val="00BD3AE9"/>
  </w:style>
  <w:style w:type="character" w:styleId="Emphasis">
    <w:name w:val="Emphasis"/>
    <w:basedOn w:val="DefaultParagraphFont"/>
    <w:uiPriority w:val="20"/>
    <w:qFormat/>
    <w:rsid w:val="00BD3AE9"/>
    <w:rPr>
      <w:i/>
      <w:iCs/>
    </w:rPr>
  </w:style>
  <w:style w:type="table" w:styleId="TableGrid">
    <w:name w:val="Table Grid"/>
    <w:basedOn w:val="TableNormal"/>
    <w:uiPriority w:val="59"/>
    <w:rsid w:val="00BD3A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ney.retallic@wald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Walden Woods Project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Retallic</dc:creator>
  <cp:lastModifiedBy>Whitney Retallic</cp:lastModifiedBy>
  <cp:revision>8</cp:revision>
  <dcterms:created xsi:type="dcterms:W3CDTF">2014-10-27T18:11:00Z</dcterms:created>
  <dcterms:modified xsi:type="dcterms:W3CDTF">2017-03-20T16:32:00Z</dcterms:modified>
</cp:coreProperties>
</file>